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Pr="0001342E" w:rsidRDefault="00E82E2B" w:rsidP="00E82E2B">
      <w:pPr>
        <w:jc w:val="center"/>
        <w:rPr>
          <w:rFonts w:ascii="Arial" w:hAnsi="Arial" w:cs="Arial"/>
          <w:b/>
          <w:sz w:val="28"/>
          <w:szCs w:val="28"/>
        </w:rPr>
      </w:pPr>
    </w:p>
    <w:p w14:paraId="11183C35" w14:textId="3673E9C2" w:rsidR="008A2091" w:rsidRPr="008A2091" w:rsidRDefault="00E82E2B" w:rsidP="008A2091">
      <w:pPr>
        <w:pStyle w:val="NormalWeb"/>
        <w:spacing w:before="170" w:beforeAutospacing="0" w:after="170" w:line="360" w:lineRule="auto"/>
        <w:rPr>
          <w:rFonts w:ascii="Arial" w:hAnsi="Arial" w:cs="Arial"/>
          <w:b/>
          <w:sz w:val="28"/>
          <w:szCs w:val="28"/>
        </w:rPr>
      </w:pPr>
      <w:r w:rsidRPr="0001342E">
        <w:rPr>
          <w:rFonts w:ascii="Arial" w:hAnsi="Arial" w:cs="Arial"/>
          <w:b/>
          <w:sz w:val="28"/>
          <w:szCs w:val="28"/>
        </w:rPr>
        <w:t>Purpose:</w:t>
      </w:r>
      <w:r w:rsidR="008A2091">
        <w:rPr>
          <w:rFonts w:ascii="Arial" w:hAnsi="Arial" w:cs="Arial"/>
          <w:b/>
          <w:sz w:val="28"/>
          <w:szCs w:val="28"/>
        </w:rPr>
        <w:t xml:space="preserve"> </w:t>
      </w:r>
    </w:p>
    <w:p w14:paraId="46D6EE96" w14:textId="77777777" w:rsidR="003B4F80" w:rsidRDefault="003B4F80" w:rsidP="008A2091">
      <w:pPr>
        <w:spacing w:line="360" w:lineRule="auto"/>
        <w:rPr>
          <w:rFonts w:ascii="Arial" w:eastAsia="Times New Roman" w:hAnsi="Arial" w:cs="Arial"/>
          <w:color w:val="000000"/>
          <w:lang w:eastAsia="en-GB"/>
        </w:rPr>
      </w:pPr>
      <w:r w:rsidRPr="003B4F80">
        <w:rPr>
          <w:rFonts w:ascii="Arial" w:eastAsia="Times New Roman" w:hAnsi="Arial" w:cs="Arial"/>
          <w:color w:val="000000"/>
          <w:lang w:eastAsia="en-GB"/>
        </w:rPr>
        <w:t xml:space="preserve">To determine whether to coach or not, and what to coach and what not to coach </w:t>
      </w:r>
    </w:p>
    <w:p w14:paraId="5B930AF7" w14:textId="4B4724B0" w:rsidR="003B4F80" w:rsidRPr="003B4F80" w:rsidRDefault="003B4F80" w:rsidP="003B4F80">
      <w:pPr>
        <w:spacing w:line="360" w:lineRule="auto"/>
        <w:rPr>
          <w:rFonts w:ascii="Arial" w:eastAsia="Times New Roman" w:hAnsi="Arial" w:cs="Arial"/>
          <w:b/>
          <w:bCs/>
          <w:color w:val="000000"/>
          <w:lang w:eastAsia="en-GB"/>
        </w:rPr>
      </w:pPr>
      <w:r w:rsidRPr="003B4F80">
        <w:rPr>
          <w:rFonts w:ascii="Arial" w:eastAsia="Times New Roman" w:hAnsi="Arial" w:cs="Arial"/>
          <w:color w:val="000000"/>
          <w:lang w:eastAsia="en-GB"/>
        </w:rPr>
        <w:t>This model provides a framework for determining whether coaching is an appropriate part of the solution and whether the underlying issue is about aptitude, attitude or the availability of resources.</w:t>
      </w:r>
    </w:p>
    <w:p w14:paraId="33188544" w14:textId="77777777" w:rsidR="003B4F80" w:rsidRPr="003B4F80" w:rsidRDefault="003B4F80" w:rsidP="003B4F80">
      <w:pPr>
        <w:spacing w:line="360" w:lineRule="auto"/>
        <w:rPr>
          <w:rFonts w:ascii="Arial" w:eastAsia="Times New Roman" w:hAnsi="Arial" w:cs="Arial"/>
          <w:color w:val="000000"/>
          <w:lang w:eastAsia="en-GB"/>
        </w:rPr>
      </w:pPr>
    </w:p>
    <w:p w14:paraId="4EBD4BE2" w14:textId="77777777" w:rsidR="003B4F80" w:rsidRPr="003B4F80" w:rsidRDefault="003B4F80" w:rsidP="003B4F80">
      <w:pPr>
        <w:spacing w:line="360" w:lineRule="auto"/>
        <w:rPr>
          <w:rFonts w:ascii="Arial" w:eastAsia="Times New Roman" w:hAnsi="Arial" w:cs="Arial"/>
          <w:b/>
          <w:bCs/>
          <w:color w:val="000000"/>
          <w:lang w:eastAsia="en-GB"/>
        </w:rPr>
      </w:pPr>
      <w:r w:rsidRPr="003B4F80">
        <w:rPr>
          <w:rFonts w:ascii="Arial" w:eastAsia="Times New Roman" w:hAnsi="Arial" w:cs="Arial"/>
          <w:b/>
          <w:bCs/>
          <w:color w:val="000000"/>
          <w:lang w:eastAsia="en-GB"/>
        </w:rPr>
        <w:t>The AAA Model</w:t>
      </w:r>
    </w:p>
    <w:p w14:paraId="3237A0D3" w14:textId="77777777" w:rsidR="003B4F80" w:rsidRPr="003B4F80" w:rsidRDefault="003B4F80" w:rsidP="003B4F80">
      <w:pPr>
        <w:spacing w:line="360" w:lineRule="auto"/>
        <w:rPr>
          <w:rFonts w:ascii="Arial" w:eastAsia="Times New Roman" w:hAnsi="Arial" w:cs="Arial"/>
          <w:color w:val="000000"/>
          <w:lang w:eastAsia="en-GB"/>
        </w:rPr>
      </w:pPr>
      <w:r w:rsidRPr="003B4F80">
        <w:rPr>
          <w:rFonts w:ascii="Arial" w:eastAsia="Times New Roman" w:hAnsi="Arial" w:cs="Arial"/>
          <w:color w:val="000000"/>
          <w:lang w:eastAsia="en-GB"/>
        </w:rPr>
        <w:t xml:space="preserve">The level of success resulting from coaching is dependant to a large part on the appropriate levels of </w:t>
      </w:r>
      <w:r w:rsidRPr="003B4F80">
        <w:rPr>
          <w:rFonts w:ascii="Arial" w:eastAsia="Times New Roman" w:hAnsi="Arial" w:cs="Arial"/>
          <w:b/>
          <w:bCs/>
          <w:color w:val="000000"/>
          <w:lang w:eastAsia="en-GB"/>
        </w:rPr>
        <w:t>aptitude, attitude and resources</w:t>
      </w:r>
      <w:r w:rsidRPr="003B4F80">
        <w:rPr>
          <w:rFonts w:ascii="Arial" w:eastAsia="Times New Roman" w:hAnsi="Arial" w:cs="Arial"/>
          <w:color w:val="000000"/>
          <w:lang w:eastAsia="en-GB"/>
        </w:rPr>
        <w:t>. If any of the three are missing, the likelihood of a successful outcome is reduced.</w:t>
      </w:r>
    </w:p>
    <w:tbl>
      <w:tblPr>
        <w:tblStyle w:val="GridTable2-Accent1"/>
        <w:tblpPr w:leftFromText="180" w:rightFromText="180" w:vertAnchor="text" w:horzAnchor="margin" w:tblpY="122"/>
        <w:tblW w:w="4946" w:type="pct"/>
        <w:tblBorders>
          <w:left w:val="single" w:sz="2" w:space="0" w:color="95B3D7" w:themeColor="accent1" w:themeTint="99"/>
          <w:right w:val="single" w:sz="2" w:space="0" w:color="95B3D7" w:themeColor="accent1" w:themeTint="99"/>
        </w:tblBorders>
        <w:tblLook w:val="04A0" w:firstRow="1" w:lastRow="0" w:firstColumn="1" w:lastColumn="0" w:noHBand="0" w:noVBand="1"/>
      </w:tblPr>
      <w:tblGrid>
        <w:gridCol w:w="3211"/>
        <w:gridCol w:w="6317"/>
      </w:tblGrid>
      <w:tr w:rsidR="003B4F80" w14:paraId="421AB650" w14:textId="77777777" w:rsidTr="000033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pct"/>
            <w:tcBorders>
              <w:top w:val="none" w:sz="0" w:space="0" w:color="auto"/>
              <w:bottom w:val="none" w:sz="0" w:space="0" w:color="auto"/>
              <w:right w:val="none" w:sz="0" w:space="0" w:color="auto"/>
            </w:tcBorders>
          </w:tcPr>
          <w:p w14:paraId="3F040564" w14:textId="77777777" w:rsidR="003B4F80" w:rsidRPr="002D09C7" w:rsidRDefault="003B4F80" w:rsidP="003B4F80">
            <w:pPr>
              <w:pStyle w:val="TableContents"/>
              <w:spacing w:before="170" w:after="57"/>
              <w:rPr>
                <w:rFonts w:ascii="Arial" w:hAnsi="Arial" w:cs="Arial"/>
                <w:b w:val="0"/>
                <w:bCs w:val="0"/>
                <w:sz w:val="22"/>
                <w:szCs w:val="22"/>
              </w:rPr>
            </w:pPr>
            <w:r w:rsidRPr="002D09C7">
              <w:rPr>
                <w:rFonts w:ascii="Arial" w:hAnsi="Arial" w:cs="Arial"/>
                <w:sz w:val="22"/>
                <w:szCs w:val="22"/>
              </w:rPr>
              <w:t>Aptitude</w:t>
            </w:r>
          </w:p>
        </w:tc>
        <w:tc>
          <w:tcPr>
            <w:tcW w:w="3315" w:type="pct"/>
            <w:tcBorders>
              <w:top w:val="none" w:sz="0" w:space="0" w:color="auto"/>
              <w:left w:val="none" w:sz="0" w:space="0" w:color="auto"/>
              <w:bottom w:val="none" w:sz="0" w:space="0" w:color="auto"/>
            </w:tcBorders>
          </w:tcPr>
          <w:p w14:paraId="184FA286" w14:textId="77777777" w:rsidR="003B4F80" w:rsidRPr="002D09C7" w:rsidRDefault="003B4F80" w:rsidP="003B4F80">
            <w:pPr>
              <w:pStyle w:val="TableContents"/>
              <w:spacing w:before="170" w:after="170"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2D09C7">
              <w:rPr>
                <w:rFonts w:ascii="Arial" w:hAnsi="Arial" w:cs="Arial"/>
                <w:b w:val="0"/>
                <w:bCs w:val="0"/>
                <w:sz w:val="22"/>
                <w:szCs w:val="22"/>
              </w:rPr>
              <w:t>This is the know-how, the skills and ability required to perform</w:t>
            </w:r>
          </w:p>
        </w:tc>
      </w:tr>
      <w:tr w:rsidR="003B4F80" w14:paraId="6D89ECEC" w14:textId="77777777" w:rsidTr="000033DA">
        <w:trPr>
          <w:cnfStyle w:val="000000100000" w:firstRow="0" w:lastRow="0" w:firstColumn="0" w:lastColumn="0" w:oddVBand="0" w:evenVBand="0" w:oddHBand="1"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1685" w:type="pct"/>
          </w:tcPr>
          <w:p w14:paraId="15D0E76B" w14:textId="77777777" w:rsidR="003B4F80" w:rsidRPr="002D09C7" w:rsidRDefault="003B4F80" w:rsidP="003B4F80">
            <w:pPr>
              <w:pStyle w:val="TableContents"/>
              <w:spacing w:before="170" w:after="57"/>
              <w:rPr>
                <w:rFonts w:ascii="Arial" w:hAnsi="Arial" w:cs="Arial"/>
                <w:b w:val="0"/>
                <w:bCs w:val="0"/>
                <w:sz w:val="22"/>
                <w:szCs w:val="22"/>
              </w:rPr>
            </w:pPr>
            <w:r w:rsidRPr="002D09C7">
              <w:rPr>
                <w:rFonts w:ascii="Arial" w:hAnsi="Arial" w:cs="Arial"/>
                <w:sz w:val="22"/>
                <w:szCs w:val="22"/>
              </w:rPr>
              <w:t>Attitude</w:t>
            </w:r>
          </w:p>
        </w:tc>
        <w:tc>
          <w:tcPr>
            <w:tcW w:w="3315" w:type="pct"/>
          </w:tcPr>
          <w:p w14:paraId="0A4AAADF" w14:textId="77777777" w:rsidR="003B4F80" w:rsidRPr="002D09C7" w:rsidRDefault="003B4F80" w:rsidP="003B4F80">
            <w:pPr>
              <w:pStyle w:val="TableContents"/>
              <w:spacing w:before="170" w:after="17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D09C7">
              <w:rPr>
                <w:rFonts w:ascii="Arial" w:hAnsi="Arial" w:cs="Arial"/>
                <w:sz w:val="22"/>
                <w:szCs w:val="22"/>
              </w:rPr>
              <w:t>This is about the drive, motivation, confidence and focus required to perform</w:t>
            </w:r>
          </w:p>
        </w:tc>
      </w:tr>
      <w:tr w:rsidR="003B4F80" w14:paraId="37C347B4" w14:textId="77777777" w:rsidTr="000033DA">
        <w:tc>
          <w:tcPr>
            <w:cnfStyle w:val="001000000000" w:firstRow="0" w:lastRow="0" w:firstColumn="1" w:lastColumn="0" w:oddVBand="0" w:evenVBand="0" w:oddHBand="0" w:evenHBand="0" w:firstRowFirstColumn="0" w:firstRowLastColumn="0" w:lastRowFirstColumn="0" w:lastRowLastColumn="0"/>
            <w:tcW w:w="1685" w:type="pct"/>
          </w:tcPr>
          <w:p w14:paraId="5F53179D" w14:textId="77777777" w:rsidR="003B4F80" w:rsidRPr="002D09C7" w:rsidRDefault="003B4F80" w:rsidP="003B4F80">
            <w:pPr>
              <w:pStyle w:val="TableContents"/>
              <w:spacing w:before="170" w:after="57"/>
              <w:rPr>
                <w:rFonts w:ascii="Arial" w:hAnsi="Arial" w:cs="Arial"/>
                <w:b w:val="0"/>
                <w:bCs w:val="0"/>
                <w:sz w:val="22"/>
                <w:szCs w:val="22"/>
              </w:rPr>
            </w:pPr>
            <w:r w:rsidRPr="002D09C7">
              <w:rPr>
                <w:rFonts w:ascii="Arial" w:hAnsi="Arial" w:cs="Arial"/>
                <w:sz w:val="22"/>
                <w:szCs w:val="22"/>
              </w:rPr>
              <w:t>Availability of Resources</w:t>
            </w:r>
          </w:p>
        </w:tc>
        <w:tc>
          <w:tcPr>
            <w:tcW w:w="3315" w:type="pct"/>
          </w:tcPr>
          <w:p w14:paraId="11BDC1DF" w14:textId="77777777" w:rsidR="003B4F80" w:rsidRPr="002D09C7" w:rsidRDefault="003B4F80" w:rsidP="003B4F80">
            <w:pPr>
              <w:pStyle w:val="TableContents"/>
              <w:spacing w:before="170" w:after="17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D09C7">
              <w:rPr>
                <w:rFonts w:ascii="Arial" w:hAnsi="Arial" w:cs="Arial"/>
                <w:sz w:val="22"/>
                <w:szCs w:val="22"/>
              </w:rPr>
              <w:t>This is about the equipment, tools and time required to perform</w:t>
            </w:r>
          </w:p>
        </w:tc>
      </w:tr>
    </w:tbl>
    <w:p w14:paraId="6007AE65" w14:textId="77777777" w:rsidR="003B4F80" w:rsidRPr="003B4F80" w:rsidRDefault="003B4F80" w:rsidP="003B4F80">
      <w:pPr>
        <w:spacing w:line="360" w:lineRule="auto"/>
        <w:rPr>
          <w:rFonts w:ascii="Arial" w:eastAsia="Times New Roman" w:hAnsi="Arial" w:cs="Arial"/>
          <w:color w:val="000000"/>
          <w:lang w:eastAsia="en-GB"/>
        </w:rPr>
      </w:pPr>
    </w:p>
    <w:p w14:paraId="21BA433E" w14:textId="3FE33032" w:rsidR="003B4F80" w:rsidRPr="003B4F80" w:rsidRDefault="003B4F80" w:rsidP="003B4F80">
      <w:pPr>
        <w:spacing w:line="360" w:lineRule="auto"/>
        <w:rPr>
          <w:rFonts w:ascii="Arial" w:eastAsia="Times New Roman" w:hAnsi="Arial" w:cs="Arial"/>
          <w:color w:val="000000"/>
          <w:lang w:eastAsia="en-GB"/>
        </w:rPr>
      </w:pPr>
      <w:r w:rsidRPr="003B4F80">
        <w:rPr>
          <w:rFonts w:ascii="Arial" w:eastAsia="Times New Roman" w:hAnsi="Arial" w:cs="Arial"/>
          <w:color w:val="000000"/>
          <w:lang w:eastAsia="en-GB"/>
        </w:rPr>
        <w:t xml:space="preserve">Knowing when to coach and when not to coach is as important as having the knowledge and skills to be able to coach. An individual’s performance is affected by many things including skills and abilities (aptitude), motivation, focus and </w:t>
      </w:r>
      <w:r w:rsidR="006E1AF8" w:rsidRPr="003B4F80">
        <w:rPr>
          <w:rFonts w:ascii="Arial" w:eastAsia="Times New Roman" w:hAnsi="Arial" w:cs="Arial"/>
          <w:color w:val="000000"/>
          <w:lang w:eastAsia="en-GB"/>
        </w:rPr>
        <w:t>self-belief</w:t>
      </w:r>
      <w:r w:rsidRPr="003B4F80">
        <w:rPr>
          <w:rFonts w:ascii="Arial" w:eastAsia="Times New Roman" w:hAnsi="Arial" w:cs="Arial"/>
          <w:color w:val="000000"/>
          <w:lang w:eastAsia="en-GB"/>
        </w:rPr>
        <w:t xml:space="preserve"> (attitude) and external factors such as the availability of time and resources. Some of these things might be outside of an individual’s direct control (e.g. market conditions or determining resource budgets), but other things might be under their direct control (e.g. influencing stakeholder relationships, the allocation or distribution of a resource allocation).</w:t>
      </w:r>
    </w:p>
    <w:p w14:paraId="01B2773F" w14:textId="17578FE9" w:rsidR="003B4F80" w:rsidRDefault="003B4F80" w:rsidP="003B4F80">
      <w:pPr>
        <w:spacing w:line="360" w:lineRule="auto"/>
        <w:rPr>
          <w:rFonts w:ascii="Arial" w:eastAsia="Times New Roman" w:hAnsi="Arial" w:cs="Arial"/>
          <w:color w:val="000000"/>
          <w:lang w:eastAsia="en-GB"/>
        </w:rPr>
      </w:pPr>
      <w:r w:rsidRPr="003B4F80">
        <w:rPr>
          <w:rFonts w:ascii="Arial" w:eastAsia="Times New Roman" w:hAnsi="Arial" w:cs="Arial"/>
          <w:color w:val="000000"/>
          <w:lang w:eastAsia="en-GB"/>
        </w:rPr>
        <w:t xml:space="preserve"> </w:t>
      </w:r>
    </w:p>
    <w:p w14:paraId="1538977E" w14:textId="371878F1" w:rsidR="003B4F80" w:rsidRDefault="003B4F80" w:rsidP="003B4F80">
      <w:pPr>
        <w:spacing w:line="360" w:lineRule="auto"/>
        <w:rPr>
          <w:rFonts w:ascii="Arial" w:eastAsia="Times New Roman" w:hAnsi="Arial" w:cs="Arial"/>
          <w:color w:val="000000"/>
          <w:lang w:eastAsia="en-GB"/>
        </w:rPr>
      </w:pPr>
    </w:p>
    <w:p w14:paraId="40E489EC" w14:textId="77777777" w:rsidR="003B4F80" w:rsidRPr="003B4F80" w:rsidRDefault="003B4F80" w:rsidP="003B4F80">
      <w:pPr>
        <w:spacing w:line="360" w:lineRule="auto"/>
        <w:rPr>
          <w:rFonts w:ascii="Arial" w:eastAsia="Times New Roman" w:hAnsi="Arial" w:cs="Arial"/>
          <w:color w:val="000000"/>
          <w:lang w:eastAsia="en-GB"/>
        </w:rPr>
      </w:pPr>
    </w:p>
    <w:p w14:paraId="36955792" w14:textId="77777777" w:rsidR="003B4F80" w:rsidRPr="003B4F80" w:rsidRDefault="003B4F80" w:rsidP="003B4F80">
      <w:pPr>
        <w:spacing w:line="360" w:lineRule="auto"/>
        <w:rPr>
          <w:rFonts w:ascii="Arial" w:eastAsia="Times New Roman" w:hAnsi="Arial" w:cs="Arial"/>
          <w:b/>
          <w:bCs/>
          <w:color w:val="000000"/>
          <w:sz w:val="28"/>
          <w:szCs w:val="28"/>
          <w:lang w:eastAsia="en-GB"/>
        </w:rPr>
      </w:pPr>
      <w:r w:rsidRPr="003B4F80">
        <w:rPr>
          <w:rFonts w:ascii="Arial" w:eastAsia="Times New Roman" w:hAnsi="Arial" w:cs="Arial"/>
          <w:b/>
          <w:bCs/>
          <w:color w:val="000000"/>
          <w:sz w:val="28"/>
          <w:szCs w:val="28"/>
          <w:lang w:eastAsia="en-GB"/>
        </w:rPr>
        <w:lastRenderedPageBreak/>
        <w:t xml:space="preserve">Directions: </w:t>
      </w:r>
    </w:p>
    <w:p w14:paraId="1A4D51E9" w14:textId="45B38061" w:rsidR="003B4F80" w:rsidRPr="003B4F80" w:rsidRDefault="003B4F80" w:rsidP="003B4F80">
      <w:pPr>
        <w:spacing w:line="360" w:lineRule="auto"/>
        <w:rPr>
          <w:rFonts w:ascii="Arial" w:eastAsia="Times New Roman" w:hAnsi="Arial" w:cs="Arial"/>
          <w:color w:val="000000"/>
          <w:lang w:eastAsia="en-GB"/>
        </w:rPr>
      </w:pPr>
      <w:r w:rsidRPr="003B4F80">
        <w:rPr>
          <w:rFonts w:ascii="Arial" w:eastAsia="Times New Roman" w:hAnsi="Arial" w:cs="Arial"/>
          <w:color w:val="000000"/>
          <w:lang w:eastAsia="en-GB"/>
        </w:rPr>
        <w:t>1.</w:t>
      </w:r>
      <w:r w:rsidR="00AB1314">
        <w:rPr>
          <w:rFonts w:ascii="Arial" w:eastAsia="Times New Roman" w:hAnsi="Arial" w:cs="Arial"/>
          <w:color w:val="000000"/>
          <w:lang w:eastAsia="en-GB"/>
        </w:rPr>
        <w:t xml:space="preserve"> </w:t>
      </w:r>
      <w:r w:rsidRPr="003B4F80">
        <w:rPr>
          <w:rFonts w:ascii="Arial" w:eastAsia="Times New Roman" w:hAnsi="Arial" w:cs="Arial"/>
          <w:color w:val="000000"/>
          <w:lang w:eastAsia="en-GB"/>
        </w:rPr>
        <w:t xml:space="preserve">Use the flow chart </w:t>
      </w:r>
      <w:r w:rsidR="00F141DE">
        <w:rPr>
          <w:rFonts w:ascii="Arial" w:eastAsia="Times New Roman" w:hAnsi="Arial" w:cs="Arial"/>
          <w:color w:val="000000"/>
          <w:lang w:eastAsia="en-GB"/>
        </w:rPr>
        <w:t>below</w:t>
      </w:r>
      <w:r w:rsidRPr="003B4F80">
        <w:rPr>
          <w:rFonts w:ascii="Arial" w:eastAsia="Times New Roman" w:hAnsi="Arial" w:cs="Arial"/>
          <w:color w:val="000000"/>
          <w:lang w:eastAsia="en-GB"/>
        </w:rPr>
        <w:t xml:space="preserve"> as it describes a series of steps that can be used to determine if the challenges lie in the individual’s aptitude, attitude or resources. </w:t>
      </w:r>
    </w:p>
    <w:p w14:paraId="4A22C937" w14:textId="20258DB8" w:rsidR="00934AC4" w:rsidRPr="003B4F80" w:rsidRDefault="003B4F80" w:rsidP="003B4F80">
      <w:pPr>
        <w:spacing w:line="360" w:lineRule="auto"/>
        <w:rPr>
          <w:rFonts w:ascii="Arial" w:eastAsia="Times New Roman" w:hAnsi="Arial" w:cs="Arial"/>
          <w:color w:val="000000"/>
          <w:lang w:eastAsia="en-GB"/>
        </w:rPr>
      </w:pPr>
      <w:r w:rsidRPr="003B4F80">
        <w:rPr>
          <w:rFonts w:ascii="Arial" w:eastAsia="Times New Roman" w:hAnsi="Arial" w:cs="Arial"/>
          <w:color w:val="000000"/>
          <w:lang w:eastAsia="en-GB"/>
        </w:rPr>
        <w:t>2.</w:t>
      </w:r>
      <w:r w:rsidR="00AB1314">
        <w:rPr>
          <w:rFonts w:ascii="Arial" w:eastAsia="Times New Roman" w:hAnsi="Arial" w:cs="Arial"/>
          <w:color w:val="000000"/>
          <w:lang w:eastAsia="en-GB"/>
        </w:rPr>
        <w:t xml:space="preserve"> </w:t>
      </w:r>
      <w:r w:rsidRPr="003B4F80">
        <w:rPr>
          <w:rFonts w:ascii="Arial" w:eastAsia="Times New Roman" w:hAnsi="Arial" w:cs="Arial"/>
          <w:color w:val="000000"/>
          <w:lang w:eastAsia="en-GB"/>
        </w:rPr>
        <w:t xml:space="preserve">Remember, the solution may not be </w:t>
      </w:r>
      <w:r w:rsidR="00AB1314" w:rsidRPr="003B4F80">
        <w:rPr>
          <w:rFonts w:ascii="Arial" w:eastAsia="Times New Roman" w:hAnsi="Arial" w:cs="Arial"/>
          <w:color w:val="000000"/>
          <w:lang w:eastAsia="en-GB"/>
        </w:rPr>
        <w:t>coaching,</w:t>
      </w:r>
      <w:r w:rsidRPr="003B4F80">
        <w:rPr>
          <w:rFonts w:ascii="Arial" w:eastAsia="Times New Roman" w:hAnsi="Arial" w:cs="Arial"/>
          <w:color w:val="000000"/>
          <w:lang w:eastAsia="en-GB"/>
        </w:rPr>
        <w:t xml:space="preserve"> or it may not only just be coaching – sometimes it might require a combination of inputs and interventions such as training or the negotiation of additional resources.</w:t>
      </w:r>
    </w:p>
    <w:p w14:paraId="12CD3117" w14:textId="471260E3" w:rsidR="00EC0929" w:rsidRDefault="00073B54" w:rsidP="003B4F80">
      <w:pPr>
        <w:spacing w:line="360" w:lineRule="auto"/>
        <w:rPr>
          <w:rFonts w:ascii="Arial" w:eastAsia="Times New Roman" w:hAnsi="Arial" w:cs="Arial"/>
          <w:color w:val="000000"/>
          <w:lang w:eastAsia="en-GB"/>
        </w:rPr>
      </w:pPr>
      <w:r>
        <w:rPr>
          <w:rFonts w:ascii="Arial" w:eastAsia="Times New Roman" w:hAnsi="Arial" w:cs="Arial"/>
          <w:noProof/>
          <w:color w:val="000000"/>
          <w:lang w:eastAsia="en-GB"/>
        </w:rPr>
        <w:drawing>
          <wp:anchor distT="0" distB="0" distL="114300" distR="114300" simplePos="0" relativeHeight="251658240" behindDoc="0" locked="0" layoutInCell="1" allowOverlap="0" wp14:anchorId="322A4095" wp14:editId="2C90B6F4">
            <wp:simplePos x="0" y="0"/>
            <wp:positionH relativeFrom="margin">
              <wp:align>left</wp:align>
            </wp:positionH>
            <wp:positionV relativeFrom="paragraph">
              <wp:posOffset>913765</wp:posOffset>
            </wp:positionV>
            <wp:extent cx="5774400" cy="5799600"/>
            <wp:effectExtent l="0" t="0" r="0" b="0"/>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4400" cy="5799600"/>
                    </a:xfrm>
                    <a:prstGeom prst="rect">
                      <a:avLst/>
                    </a:prstGeom>
                    <a:noFill/>
                  </pic:spPr>
                </pic:pic>
              </a:graphicData>
            </a:graphic>
            <wp14:sizeRelH relativeFrom="margin">
              <wp14:pctWidth>0</wp14:pctWidth>
            </wp14:sizeRelH>
            <wp14:sizeRelV relativeFrom="margin">
              <wp14:pctHeight>0</wp14:pctHeight>
            </wp14:sizeRelV>
          </wp:anchor>
        </w:drawing>
      </w:r>
      <w:r w:rsidR="003B4F80" w:rsidRPr="003B4F80">
        <w:rPr>
          <w:rFonts w:ascii="Arial" w:eastAsia="Times New Roman" w:hAnsi="Arial" w:cs="Arial"/>
          <w:color w:val="000000"/>
          <w:lang w:eastAsia="en-GB"/>
        </w:rPr>
        <w:t>3.</w:t>
      </w:r>
      <w:r w:rsidR="00AB1314">
        <w:rPr>
          <w:rFonts w:ascii="Arial" w:eastAsia="Times New Roman" w:hAnsi="Arial" w:cs="Arial"/>
          <w:color w:val="000000"/>
          <w:lang w:eastAsia="en-GB"/>
        </w:rPr>
        <w:t xml:space="preserve"> </w:t>
      </w:r>
      <w:r w:rsidR="003B4F80" w:rsidRPr="003B4F80">
        <w:rPr>
          <w:rFonts w:ascii="Arial" w:eastAsia="Times New Roman" w:hAnsi="Arial" w:cs="Arial"/>
          <w:color w:val="000000"/>
          <w:lang w:eastAsia="en-GB"/>
        </w:rPr>
        <w:t>Although the AAA Coaching Model is for use by the coach, it can be also be used with clients by engaging the client to work through the flowchart with the coach rather than just as a process lead discussion by the coach.</w:t>
      </w:r>
    </w:p>
    <w:sectPr w:rsidR="00EC0929" w:rsidSect="00E82E2B">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6FD03" w14:textId="77777777" w:rsidR="00061369" w:rsidRDefault="00061369" w:rsidP="00E82E2B">
      <w:pPr>
        <w:spacing w:after="0" w:line="240" w:lineRule="auto"/>
      </w:pPr>
      <w:r>
        <w:separator/>
      </w:r>
    </w:p>
  </w:endnote>
  <w:endnote w:type="continuationSeparator" w:id="0">
    <w:p w14:paraId="5FFBB1F0" w14:textId="77777777" w:rsidR="00061369" w:rsidRDefault="00061369"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F2571" w14:textId="77777777" w:rsidR="00061369" w:rsidRDefault="00061369" w:rsidP="00E82E2B">
      <w:pPr>
        <w:spacing w:after="0" w:line="240" w:lineRule="auto"/>
      </w:pPr>
      <w:r>
        <w:separator/>
      </w:r>
    </w:p>
  </w:footnote>
  <w:footnote w:type="continuationSeparator" w:id="0">
    <w:p w14:paraId="1A3F85F0" w14:textId="77777777" w:rsidR="00061369" w:rsidRDefault="00061369"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178EC375" w:rsidR="00E82E2B" w:rsidRPr="009C6A12" w:rsidRDefault="009C6A12" w:rsidP="009C6A12">
    <w:pPr>
      <w:tabs>
        <w:tab w:val="left" w:pos="7575"/>
      </w:tabs>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4F80">
      <w:rPr>
        <w:rFonts w:ascii="Arial" w:hAnsi="Arial" w:cs="Arial"/>
        <w:noProof/>
        <w:sz w:val="28"/>
        <w:szCs w:val="28"/>
      </w:rPr>
      <w:t>3 As Model</w:t>
    </w:r>
    <w:r w:rsidRPr="009C6A12">
      <w:rPr>
        <w:rFonts w:ascii="Arial" w:hAnsi="Arial" w:cs="Arial"/>
        <w:noProof/>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6A021"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33DA"/>
    <w:rsid w:val="000043F4"/>
    <w:rsid w:val="0000506B"/>
    <w:rsid w:val="00005C94"/>
    <w:rsid w:val="0000685C"/>
    <w:rsid w:val="0000693F"/>
    <w:rsid w:val="00007463"/>
    <w:rsid w:val="00007D5F"/>
    <w:rsid w:val="000104C2"/>
    <w:rsid w:val="00011A2A"/>
    <w:rsid w:val="0001342E"/>
    <w:rsid w:val="000135C9"/>
    <w:rsid w:val="00016138"/>
    <w:rsid w:val="00017AC6"/>
    <w:rsid w:val="00017F98"/>
    <w:rsid w:val="00020493"/>
    <w:rsid w:val="00021288"/>
    <w:rsid w:val="00030715"/>
    <w:rsid w:val="00030968"/>
    <w:rsid w:val="000313B9"/>
    <w:rsid w:val="000434C5"/>
    <w:rsid w:val="00043BBC"/>
    <w:rsid w:val="000455C6"/>
    <w:rsid w:val="00046140"/>
    <w:rsid w:val="00046968"/>
    <w:rsid w:val="000469B9"/>
    <w:rsid w:val="00047B21"/>
    <w:rsid w:val="00052369"/>
    <w:rsid w:val="00061369"/>
    <w:rsid w:val="00062007"/>
    <w:rsid w:val="00062DE9"/>
    <w:rsid w:val="00063043"/>
    <w:rsid w:val="00065458"/>
    <w:rsid w:val="0006688B"/>
    <w:rsid w:val="00066C3C"/>
    <w:rsid w:val="000736B8"/>
    <w:rsid w:val="00073B54"/>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09C7"/>
    <w:rsid w:val="002D1E52"/>
    <w:rsid w:val="002E6AD0"/>
    <w:rsid w:val="002E71BF"/>
    <w:rsid w:val="002E72F5"/>
    <w:rsid w:val="002F67CF"/>
    <w:rsid w:val="002F7037"/>
    <w:rsid w:val="002F7D41"/>
    <w:rsid w:val="00300B00"/>
    <w:rsid w:val="00300C15"/>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56D7D"/>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4F80"/>
    <w:rsid w:val="003B52A7"/>
    <w:rsid w:val="003B6759"/>
    <w:rsid w:val="003B71FD"/>
    <w:rsid w:val="003C1190"/>
    <w:rsid w:val="003C1B65"/>
    <w:rsid w:val="003C22B7"/>
    <w:rsid w:val="003C4AAB"/>
    <w:rsid w:val="003C5C0E"/>
    <w:rsid w:val="003C5E76"/>
    <w:rsid w:val="003C5FA9"/>
    <w:rsid w:val="003D080E"/>
    <w:rsid w:val="003D3759"/>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359"/>
    <w:rsid w:val="004D6531"/>
    <w:rsid w:val="004D6BC9"/>
    <w:rsid w:val="004E15D3"/>
    <w:rsid w:val="004E3820"/>
    <w:rsid w:val="004E5A67"/>
    <w:rsid w:val="004E7C80"/>
    <w:rsid w:val="004F290B"/>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526"/>
    <w:rsid w:val="00531CEE"/>
    <w:rsid w:val="00533B16"/>
    <w:rsid w:val="00534317"/>
    <w:rsid w:val="0054036F"/>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D105B"/>
    <w:rsid w:val="006D2005"/>
    <w:rsid w:val="006D2058"/>
    <w:rsid w:val="006D5703"/>
    <w:rsid w:val="006D764A"/>
    <w:rsid w:val="006D79A5"/>
    <w:rsid w:val="006E1AF8"/>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844D0"/>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5F2D"/>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2091"/>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E6B25"/>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34AC4"/>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5B86"/>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1314"/>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2F85"/>
    <w:rsid w:val="00BB32BF"/>
    <w:rsid w:val="00BC0223"/>
    <w:rsid w:val="00BC0842"/>
    <w:rsid w:val="00BC66BA"/>
    <w:rsid w:val="00BE06F2"/>
    <w:rsid w:val="00BE6BBE"/>
    <w:rsid w:val="00BF5E51"/>
    <w:rsid w:val="00BF5FD5"/>
    <w:rsid w:val="00BF7B40"/>
    <w:rsid w:val="00BF7EA8"/>
    <w:rsid w:val="00C026B2"/>
    <w:rsid w:val="00C03855"/>
    <w:rsid w:val="00C06D07"/>
    <w:rsid w:val="00C071AB"/>
    <w:rsid w:val="00C0791E"/>
    <w:rsid w:val="00C10C85"/>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197"/>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BB3"/>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0015"/>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929"/>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1DE"/>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Contents">
    <w:name w:val="Table Contents"/>
    <w:basedOn w:val="Normal"/>
    <w:rsid w:val="003B4F80"/>
    <w:pPr>
      <w:widowControl w:val="0"/>
      <w:suppressLineNumbers/>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3.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Anne-Marie Daly</cp:lastModifiedBy>
  <cp:revision>24</cp:revision>
  <cp:lastPrinted>2012-06-26T09:11:00Z</cp:lastPrinted>
  <dcterms:created xsi:type="dcterms:W3CDTF">2020-04-07T10:22:00Z</dcterms:created>
  <dcterms:modified xsi:type="dcterms:W3CDTF">2020-04-17T13:20:00Z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