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dxa"/>
        <w:tblBorders>
          <w:top w:color="95b3d7" w:space="0" w:sz="4" w:val="single"/>
          <w:left w:color="000000" w:space="0" w:sz="4" w:val="single"/>
          <w:bottom w:color="95b3d7" w:space="0" w:sz="4" w:val="single"/>
          <w:right w:color="000000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1E0"/>
      </w:tblPr>
      <w:tblGrid>
        <w:gridCol w:w="9638"/>
        <w:tblGridChange w:id="0">
          <w:tblGrid>
            <w:gridCol w:w="9638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Client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Naam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atum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Consultant: 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Locati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Project Na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am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Start Dat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um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Achtergrond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Doel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397" w:firstLine="0"/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39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Bereik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Beperkingen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39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c>
          <w:tcPr>
            <w:tcBorders>
              <w:bottom w:color="95b3d7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apportage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397" w:firstLine="0"/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39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95b3d7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Leveringen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en Mijlpalen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39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ind w:left="39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5b3d7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Finan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cien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/Fees: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left" w:pos="7575"/>
      </w:tabs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0"/>
      </w:rPr>
      <w:t xml:space="preserve">Terms of Reference Report / Mandaat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4966335</wp:posOffset>
          </wp:positionH>
          <wp:positionV relativeFrom="paragraph">
            <wp:posOffset>-288289</wp:posOffset>
          </wp:positionV>
          <wp:extent cx="1451812" cy="1029327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1812" cy="102932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tabs>
        <w:tab w:val="left" w:pos="7575"/>
      </w:tabs>
      <w:rPr>
        <w:rFonts w:ascii="Arial Rounded" w:cs="Arial Rounded" w:eastAsia="Arial Rounded" w:hAnsi="Arial Rounded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50800</wp:posOffset>
              </wp:positionV>
              <wp:extent cx="7772400" cy="1111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64563" y="372920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cap="flat" cmpd="sng" w="9525">
                        <a:solidFill>
                          <a:srgbClr val="175EB5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50800</wp:posOffset>
              </wp:positionV>
              <wp:extent cx="7772400" cy="11112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11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2CC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 w:val="1"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82E2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82E2B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rsid w:val="00E82E2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0A637A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n66QXGLMOxuPWEi7xperPkhuPA==">AMUW2mX+yQPk44SWFKJl4146mtpicLK0zSQWkWwAdE4+xnMzCBgQaveSkxbktTfJEkiVIaTOqSHHDqHwwA4yr78hieTJ07fLMGP4cYVP1k5uFHQ8g8O1Dw4=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2020-04-07T10:22:00Z</dcterms:created>
  <dc:creator>Ashleigh Oakes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