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DD3522" w:rsidRDefault="00E82E2B" w:rsidP="00E82E2B">
      <w:pPr>
        <w:jc w:val="center"/>
        <w:rPr>
          <w:rFonts w:ascii="Arial" w:hAnsi="Arial" w:cs="Arial"/>
          <w:b/>
          <w:sz w:val="28"/>
          <w:szCs w:val="28"/>
        </w:rPr>
      </w:pPr>
      <w:bookmarkStart w:id="0" w:name="_GoBack"/>
    </w:p>
    <w:p w14:paraId="413E8DA9" w14:textId="77777777" w:rsidR="00893A06" w:rsidRPr="00893A06" w:rsidRDefault="00893A06" w:rsidP="00893A06">
      <w:pPr>
        <w:pStyle w:val="Textbody"/>
        <w:spacing w:before="170" w:after="170" w:line="360" w:lineRule="auto"/>
        <w:rPr>
          <w:rFonts w:ascii="Arial" w:hAnsi="Arial" w:cs="Arial"/>
          <w:b/>
          <w:bCs/>
          <w:sz w:val="28"/>
          <w:szCs w:val="28"/>
        </w:rPr>
      </w:pPr>
      <w:r w:rsidRPr="00893A06">
        <w:rPr>
          <w:rFonts w:ascii="Arial" w:hAnsi="Arial" w:cs="Arial"/>
          <w:b/>
          <w:bCs/>
          <w:sz w:val="28"/>
          <w:szCs w:val="28"/>
        </w:rPr>
        <w:t xml:space="preserve">Zweck: </w:t>
      </w:r>
    </w:p>
    <w:p w14:paraId="17CD5E25"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 xml:space="preserve">Betrachten von Problemen und Entscheidungen aus verschiedenen Perspektiven   </w:t>
      </w:r>
    </w:p>
    <w:p w14:paraId="3CA16B70"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Edward de Bono entwickelte das Modell der sechs denkenden Hüte, um Entscheidungsträger zu ermutigen, verschiedene Perspektiven in Betracht zu ziehen. Es ermutigt die Menschen, sich von ihren gewohnten Denkweisen zu entfernen, und ermöglicht es ihnen so, Probleme und Themen aus verschiedenen Blickwinkeln zu betrachten und verschiedene Standpunkte zu betrachten.</w:t>
      </w:r>
    </w:p>
    <w:p w14:paraId="17A371CB"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Die meisten Menschen betrachten ein Problem typischerweise aus ihrer eigenen Perspektive, sei es zum Beispiel die eines logischen Denkers, eines Pessimisten, eines kreativen Denkers oder eines Optimisten. Dies wirkt sich dann auf die daraus resultierende Entscheidung oder das Ergebnis aus.</w:t>
      </w:r>
    </w:p>
    <w:p w14:paraId="745144DF"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Die Technik der Sechs Denkenden Hüte kann helfen, eine Entscheidung oder ein Ergebnis zu optimieren, indem sie einen Ansatz fördert, der Logik, Kreativität, Gefühle und Emotionen, optimistische und pessimistische Positionen und auch die Notwendigkeit von Notfallplänen einbezieht.</w:t>
      </w:r>
    </w:p>
    <w:p w14:paraId="6CCC0DD4" w14:textId="77777777" w:rsidR="00893A06" w:rsidRPr="00893A06" w:rsidRDefault="00893A06" w:rsidP="00893A06">
      <w:pPr>
        <w:pStyle w:val="Textbody"/>
        <w:spacing w:before="170" w:after="170" w:line="360" w:lineRule="auto"/>
        <w:rPr>
          <w:rFonts w:ascii="Arial" w:hAnsi="Arial" w:cs="Arial"/>
          <w:sz w:val="22"/>
          <w:szCs w:val="22"/>
        </w:rPr>
      </w:pPr>
    </w:p>
    <w:p w14:paraId="6B3B70BB" w14:textId="77777777" w:rsidR="00893A06" w:rsidRPr="00893A06" w:rsidRDefault="00893A06" w:rsidP="00893A06">
      <w:pPr>
        <w:pStyle w:val="Textbody"/>
        <w:spacing w:before="170" w:after="170" w:line="360" w:lineRule="auto"/>
        <w:rPr>
          <w:rFonts w:ascii="Arial" w:hAnsi="Arial" w:cs="Arial"/>
          <w:b/>
          <w:bCs/>
          <w:sz w:val="28"/>
          <w:szCs w:val="28"/>
        </w:rPr>
      </w:pPr>
      <w:r w:rsidRPr="00893A06">
        <w:rPr>
          <w:rFonts w:ascii="Arial" w:hAnsi="Arial" w:cs="Arial"/>
          <w:b/>
          <w:bCs/>
          <w:sz w:val="28"/>
          <w:szCs w:val="28"/>
        </w:rPr>
        <w:t>Anleitungen:</w:t>
      </w:r>
    </w:p>
    <w:p w14:paraId="6260935E"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Die Technik erfordert von Einzelpersonen und Teams, Entscheidungen so zu betrachten, als ob sie eine Reihe verschiedenfarbiger Hüte tragen würden.</w:t>
      </w:r>
    </w:p>
    <w:p w14:paraId="2E026A78"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Es gibt sechs metaphorische Hüte, die (metaphorisch) aufgesetzt oder abgenommen werden können, um die Art des Denkens anzuzeigen. Der metaphorische Prozess des Auf- und Absetzens jedes Hutes ist wichtig.</w:t>
      </w:r>
    </w:p>
    <w:p w14:paraId="2E0481F8" w14:textId="2DBB57F5"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Jeder Hut repräsentiert einen anderen Denkstil</w:t>
      </w:r>
      <w:r w:rsidR="00DD3522" w:rsidRPr="00DD3522">
        <w:rPr>
          <w:rFonts w:ascii="Arial" w:hAnsi="Arial" w:cs="Arial"/>
          <w:sz w:val="22"/>
          <w:szCs w:val="22"/>
        </w:rPr>
        <w:t>.</w:t>
      </w:r>
    </w:p>
    <w:p w14:paraId="7DFAE4C0" w14:textId="18F411C0"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12F0C524" wp14:editId="36132EB8">
            <wp:extent cx="6381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28BD683" w14:textId="67830083" w:rsidR="00893A06" w:rsidRPr="00893A06" w:rsidRDefault="00893A06" w:rsidP="00893A06">
      <w:pPr>
        <w:pStyle w:val="Textbody"/>
        <w:spacing w:before="170" w:after="170" w:line="360" w:lineRule="auto"/>
        <w:rPr>
          <w:rFonts w:ascii="Arial" w:hAnsi="Arial" w:cs="Arial"/>
          <w:b/>
          <w:bCs/>
          <w:sz w:val="22"/>
          <w:szCs w:val="22"/>
        </w:rPr>
      </w:pPr>
      <w:r w:rsidRPr="00893A06">
        <w:rPr>
          <w:rFonts w:ascii="Arial" w:hAnsi="Arial" w:cs="Arial"/>
          <w:b/>
          <w:bCs/>
          <w:sz w:val="22"/>
          <w:szCs w:val="22"/>
        </w:rPr>
        <w:t>Weiß</w:t>
      </w:r>
      <w:r>
        <w:rPr>
          <w:rFonts w:ascii="Arial" w:hAnsi="Arial" w:cs="Arial"/>
          <w:b/>
          <w:bCs/>
          <w:sz w:val="22"/>
          <w:szCs w:val="22"/>
        </w:rPr>
        <w:t>er H</w:t>
      </w:r>
      <w:r w:rsidRPr="00893A06">
        <w:rPr>
          <w:rFonts w:ascii="Arial" w:hAnsi="Arial" w:cs="Arial"/>
          <w:b/>
          <w:bCs/>
          <w:sz w:val="22"/>
          <w:szCs w:val="22"/>
        </w:rPr>
        <w:t>ut</w:t>
      </w:r>
      <w:r>
        <w:rPr>
          <w:rFonts w:ascii="Arial" w:hAnsi="Arial" w:cs="Arial"/>
          <w:b/>
          <w:bCs/>
          <w:sz w:val="22"/>
          <w:szCs w:val="22"/>
        </w:rPr>
        <w:t xml:space="preserve"> </w:t>
      </w:r>
      <w:r w:rsidRPr="00893A06">
        <w:rPr>
          <w:rFonts w:ascii="Arial" w:hAnsi="Arial" w:cs="Arial"/>
          <w:b/>
          <w:bCs/>
          <w:sz w:val="22"/>
          <w:szCs w:val="22"/>
        </w:rPr>
        <w:t>Denken</w:t>
      </w:r>
    </w:p>
    <w:p w14:paraId="6D37B406" w14:textId="0AE5B8D4"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Weißhut-Denken</w:t>
      </w:r>
      <w:r>
        <w:rPr>
          <w:rFonts w:ascii="Arial" w:hAnsi="Arial" w:cs="Arial"/>
          <w:sz w:val="22"/>
          <w:szCs w:val="22"/>
        </w:rPr>
        <w:t xml:space="preserve"> </w:t>
      </w:r>
      <w:r w:rsidRPr="00893A06">
        <w:rPr>
          <w:rFonts w:ascii="Arial" w:hAnsi="Arial" w:cs="Arial"/>
          <w:sz w:val="22"/>
          <w:szCs w:val="22"/>
        </w:rPr>
        <w:t xml:space="preserve">befasst sich mit Fakten, Zahlen, Informationsbedürfnissen und Lücken. Es bedeutet, sich auf die verfügbaren Informationen zu konzentrieren und zu sehen, was daraus </w:t>
      </w:r>
      <w:r w:rsidRPr="00893A06">
        <w:rPr>
          <w:rFonts w:ascii="Arial" w:hAnsi="Arial" w:cs="Arial"/>
          <w:sz w:val="22"/>
          <w:szCs w:val="22"/>
        </w:rPr>
        <w:lastRenderedPageBreak/>
        <w:t>gelernt werden kann. Wissenslücken sollten identifiziert und dann versucht werden, sie entweder zu schließen oder zu berücksichtigen</w:t>
      </w:r>
      <w:r w:rsidR="00DD3522" w:rsidRPr="00DD3522">
        <w:rPr>
          <w:rFonts w:ascii="Arial" w:hAnsi="Arial" w:cs="Arial"/>
          <w:sz w:val="22"/>
          <w:szCs w:val="22"/>
        </w:rPr>
        <w:t>.</w:t>
      </w:r>
    </w:p>
    <w:p w14:paraId="0D02327C" w14:textId="77777777" w:rsidR="00DD3522" w:rsidRPr="00DD3522" w:rsidRDefault="00DD3522" w:rsidP="00DD3522">
      <w:pPr>
        <w:rPr>
          <w:rFonts w:ascii="Arial" w:eastAsia="Arial Unicode MS" w:hAnsi="Arial" w:cs="Arial"/>
          <w:b/>
          <w:bCs/>
          <w:kern w:val="3"/>
          <w:lang w:eastAsia="zh-CN" w:bidi="hi-IN"/>
        </w:rPr>
      </w:pPr>
      <w:r w:rsidRPr="00DD3522">
        <w:rPr>
          <w:rFonts w:ascii="Arial" w:hAnsi="Arial" w:cs="Arial"/>
          <w:b/>
          <w:bCs/>
        </w:rPr>
        <w:br w:type="page"/>
      </w:r>
    </w:p>
    <w:p w14:paraId="28576C88" w14:textId="77777777" w:rsidR="00DD3522" w:rsidRPr="00DD3522" w:rsidRDefault="00DD3522" w:rsidP="00DD3522">
      <w:pPr>
        <w:pStyle w:val="Textbody"/>
        <w:spacing w:before="170" w:after="170" w:line="360" w:lineRule="auto"/>
        <w:rPr>
          <w:rFonts w:ascii="Arial" w:hAnsi="Arial" w:cs="Arial"/>
          <w:b/>
          <w:bCs/>
          <w:sz w:val="22"/>
          <w:szCs w:val="22"/>
        </w:rPr>
      </w:pPr>
    </w:p>
    <w:p w14:paraId="3CEB5AB3" w14:textId="52E4B1F4" w:rsidR="00DD3522" w:rsidRPr="00DD3522" w:rsidRDefault="00DD3522" w:rsidP="00DD3522">
      <w:pPr>
        <w:pStyle w:val="Textbody"/>
        <w:spacing w:before="170" w:after="170" w:line="360" w:lineRule="auto"/>
        <w:rPr>
          <w:rFonts w:ascii="Arial" w:hAnsi="Arial" w:cs="Arial"/>
          <w:b/>
          <w:bCs/>
          <w:sz w:val="22"/>
          <w:szCs w:val="22"/>
        </w:rPr>
      </w:pPr>
      <w:r w:rsidRPr="00DD3522">
        <w:rPr>
          <w:rFonts w:ascii="Arial" w:hAnsi="Arial" w:cs="Arial"/>
          <w:b/>
          <w:noProof/>
          <w:sz w:val="22"/>
          <w:szCs w:val="22"/>
          <w:lang w:eastAsia="en-GB" w:bidi="ar-SA"/>
        </w:rPr>
        <w:drawing>
          <wp:inline distT="0" distB="0" distL="0" distR="0" wp14:anchorId="39C7A7E8" wp14:editId="24F48024">
            <wp:extent cx="5619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a:ln>
                      <a:noFill/>
                    </a:ln>
                  </pic:spPr>
                </pic:pic>
              </a:graphicData>
            </a:graphic>
          </wp:inline>
        </w:drawing>
      </w:r>
    </w:p>
    <w:p w14:paraId="07897E2B" w14:textId="39EBACC8" w:rsidR="00893A06" w:rsidRPr="00893A06" w:rsidRDefault="00893A06" w:rsidP="00893A06">
      <w:pPr>
        <w:pStyle w:val="Textbody"/>
        <w:spacing w:before="170" w:after="170" w:line="360" w:lineRule="auto"/>
        <w:rPr>
          <w:rFonts w:ascii="Arial" w:hAnsi="Arial" w:cs="Arial"/>
          <w:b/>
          <w:bCs/>
          <w:sz w:val="22"/>
          <w:szCs w:val="22"/>
        </w:rPr>
      </w:pPr>
      <w:r w:rsidRPr="00893A06">
        <w:rPr>
          <w:rFonts w:ascii="Arial" w:hAnsi="Arial" w:cs="Arial"/>
          <w:b/>
          <w:bCs/>
          <w:sz w:val="22"/>
          <w:szCs w:val="22"/>
        </w:rPr>
        <w:t>Rote</w:t>
      </w:r>
      <w:r>
        <w:rPr>
          <w:rFonts w:ascii="Arial" w:hAnsi="Arial" w:cs="Arial"/>
          <w:b/>
          <w:bCs/>
          <w:sz w:val="22"/>
          <w:szCs w:val="22"/>
        </w:rPr>
        <w:t xml:space="preserve">r </w:t>
      </w:r>
      <w:r w:rsidRPr="00893A06">
        <w:rPr>
          <w:rFonts w:ascii="Arial" w:hAnsi="Arial" w:cs="Arial"/>
          <w:b/>
          <w:bCs/>
          <w:sz w:val="22"/>
          <w:szCs w:val="22"/>
        </w:rPr>
        <w:t>Hut</w:t>
      </w:r>
      <w:r>
        <w:rPr>
          <w:rFonts w:ascii="Arial" w:hAnsi="Arial" w:cs="Arial"/>
          <w:b/>
          <w:bCs/>
          <w:sz w:val="22"/>
          <w:szCs w:val="22"/>
        </w:rPr>
        <w:t xml:space="preserve"> </w:t>
      </w:r>
      <w:r w:rsidRPr="00893A06">
        <w:rPr>
          <w:rFonts w:ascii="Arial" w:hAnsi="Arial" w:cs="Arial"/>
          <w:b/>
          <w:bCs/>
          <w:sz w:val="22"/>
          <w:szCs w:val="22"/>
        </w:rPr>
        <w:t>Denken</w:t>
      </w:r>
    </w:p>
    <w:p w14:paraId="15F41800" w14:textId="2BA018F6"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Beim Roter</w:t>
      </w:r>
      <w:r>
        <w:rPr>
          <w:rFonts w:ascii="Arial" w:hAnsi="Arial" w:cs="Arial"/>
          <w:sz w:val="22"/>
          <w:szCs w:val="22"/>
        </w:rPr>
        <w:t xml:space="preserve"> </w:t>
      </w:r>
      <w:r w:rsidRPr="00893A06">
        <w:rPr>
          <w:rFonts w:ascii="Arial" w:hAnsi="Arial" w:cs="Arial"/>
          <w:sz w:val="22"/>
          <w:szCs w:val="22"/>
        </w:rPr>
        <w:t>Hut</w:t>
      </w:r>
      <w:r>
        <w:rPr>
          <w:rFonts w:ascii="Arial" w:hAnsi="Arial" w:cs="Arial"/>
          <w:sz w:val="22"/>
          <w:szCs w:val="22"/>
        </w:rPr>
        <w:t xml:space="preserve"> </w:t>
      </w:r>
      <w:r w:rsidRPr="00893A06">
        <w:rPr>
          <w:rFonts w:ascii="Arial" w:hAnsi="Arial" w:cs="Arial"/>
          <w:sz w:val="22"/>
          <w:szCs w:val="22"/>
        </w:rPr>
        <w:t>Denken geht es um Intuition, Gefühle und Emotionen. Der Red Hat erlaubt es dem Denker, eine Intuition vorzubringen, ohne sie rechtfertigen zu müssen. Gewöhnlich können im Geschäftsleben Gefühle und Intuition nur dann in eine Diskussion eingebracht werden, wenn sie durch Logik unterstützt werden. Der Red Hat gibt einem Denker die volle Erlaubnis, seine oder ihre Gefühle zu dem Thema im Moment vorzubringen</w:t>
      </w:r>
      <w:r w:rsidR="00DD3522" w:rsidRPr="00DD3522">
        <w:rPr>
          <w:rFonts w:ascii="Arial" w:hAnsi="Arial" w:cs="Arial"/>
          <w:sz w:val="22"/>
          <w:szCs w:val="22"/>
        </w:rPr>
        <w:t>.</w:t>
      </w:r>
    </w:p>
    <w:p w14:paraId="50496A93" w14:textId="6B7727E5"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3B81411B" wp14:editId="58310419">
            <wp:extent cx="6381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p w14:paraId="76034010" w14:textId="72FA6592" w:rsidR="00893A06" w:rsidRPr="00893A06" w:rsidRDefault="00893A06" w:rsidP="00893A06">
      <w:pPr>
        <w:pStyle w:val="Textbody"/>
        <w:spacing w:before="170" w:after="170" w:line="360" w:lineRule="auto"/>
        <w:rPr>
          <w:rFonts w:ascii="Arial" w:hAnsi="Arial" w:cs="Arial"/>
          <w:b/>
          <w:bCs/>
          <w:sz w:val="22"/>
          <w:szCs w:val="22"/>
        </w:rPr>
      </w:pPr>
      <w:r w:rsidRPr="00893A06">
        <w:rPr>
          <w:rFonts w:ascii="Arial" w:hAnsi="Arial" w:cs="Arial"/>
          <w:b/>
          <w:bCs/>
          <w:sz w:val="22"/>
          <w:szCs w:val="22"/>
        </w:rPr>
        <w:t>Schwarz</w:t>
      </w:r>
      <w:r>
        <w:rPr>
          <w:rFonts w:ascii="Arial" w:hAnsi="Arial" w:cs="Arial"/>
          <w:b/>
          <w:bCs/>
          <w:sz w:val="22"/>
          <w:szCs w:val="22"/>
        </w:rPr>
        <w:t>er H</w:t>
      </w:r>
      <w:r w:rsidRPr="00893A06">
        <w:rPr>
          <w:rFonts w:ascii="Arial" w:hAnsi="Arial" w:cs="Arial"/>
          <w:b/>
          <w:bCs/>
          <w:sz w:val="22"/>
          <w:szCs w:val="22"/>
        </w:rPr>
        <w:t>ut</w:t>
      </w:r>
      <w:r>
        <w:rPr>
          <w:rFonts w:ascii="Arial" w:hAnsi="Arial" w:cs="Arial"/>
          <w:b/>
          <w:bCs/>
          <w:sz w:val="22"/>
          <w:szCs w:val="22"/>
        </w:rPr>
        <w:t xml:space="preserve"> </w:t>
      </w:r>
      <w:r w:rsidRPr="00893A06">
        <w:rPr>
          <w:rFonts w:ascii="Arial" w:hAnsi="Arial" w:cs="Arial"/>
          <w:b/>
          <w:bCs/>
          <w:sz w:val="22"/>
          <w:szCs w:val="22"/>
        </w:rPr>
        <w:t>Denken</w:t>
      </w:r>
    </w:p>
    <w:p w14:paraId="75BDA5DD" w14:textId="250D466B"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Beim Schwarz</w:t>
      </w:r>
      <w:r>
        <w:rPr>
          <w:rFonts w:ascii="Arial" w:hAnsi="Arial" w:cs="Arial"/>
          <w:sz w:val="22"/>
          <w:szCs w:val="22"/>
        </w:rPr>
        <w:t>er H</w:t>
      </w:r>
      <w:r w:rsidRPr="00893A06">
        <w:rPr>
          <w:rFonts w:ascii="Arial" w:hAnsi="Arial" w:cs="Arial"/>
          <w:sz w:val="22"/>
          <w:szCs w:val="22"/>
        </w:rPr>
        <w:t>ut Denken geht es um Urteilsvermögen und Vorsicht. Es ist ein sehr wertvoller Ansatz. Er sollte nicht als negativer Hut angesehen werden, sondern als derjenige, mit dem man aufzeigen kann, warum ein Vorschlag nicht zu den Fakten, dem gegenwärtigen System, der Politik der Organisation passt oder nicht mit dem übereinstimmt, was Ihre bisherigen Erfahrungen nahelegen. Der Schwarze Hut ist immer logisch.</w:t>
      </w:r>
    </w:p>
    <w:p w14:paraId="0790F976"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Beim Black Hat-Denken geht es darum, die Dinge pessimistisch, vorsichtig und defensiv zu betrachten und zu versuchen zu erkennen, warum Ideen und Ansätze möglicherweise nicht funktionieren. Das ist wichtig, weil es die Schwachstellen in einem Plan oder einer Handlungsweise aufzeigt. Diese können dann beseitigt, Ihr Ansatz geändert oder Notfallpläne erstellt werden, um eventuell auftretenden Problemen zu begegnen.</w:t>
      </w:r>
    </w:p>
    <w:p w14:paraId="03390AE0" w14:textId="39914309"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Das Tragen des Schwarzen Hutes trägt dazu bei, Ihre Pläne stärker und widerstandsfähiger zu machen. Es ist von entscheidender Bedeutung, tödliche Fehler und Risiken zu erkennen, bevor man sich auf eine bestimmte Vorgehensweise einlässt. Das "Black Hat"-Denken ist einer der wirklichen Vorteile dieser Technik, denn es hilft denjenigen, die es gewohnt sind, sich auf positives Denken zu verlassen, Probleme im Voraus zu erkennen und sie so auf Schwierigkeiten vorzubereiten.</w:t>
      </w:r>
    </w:p>
    <w:p w14:paraId="3E62EA13" w14:textId="77777777" w:rsidR="00DD3522" w:rsidRPr="00DD3522" w:rsidRDefault="00DD3522" w:rsidP="00DD3522">
      <w:pPr>
        <w:rPr>
          <w:rFonts w:ascii="Arial" w:eastAsia="Arial Unicode MS" w:hAnsi="Arial" w:cs="Arial"/>
          <w:b/>
          <w:bCs/>
          <w:kern w:val="3"/>
          <w:lang w:eastAsia="zh-CN" w:bidi="hi-IN"/>
        </w:rPr>
      </w:pPr>
      <w:r w:rsidRPr="00DD3522">
        <w:rPr>
          <w:rFonts w:ascii="Arial" w:hAnsi="Arial" w:cs="Arial"/>
          <w:b/>
          <w:bCs/>
        </w:rPr>
        <w:br w:type="page"/>
      </w:r>
    </w:p>
    <w:p w14:paraId="73BAA54E" w14:textId="77777777" w:rsidR="00DD3522" w:rsidRPr="00DD3522" w:rsidRDefault="00DD3522" w:rsidP="00DD3522">
      <w:pPr>
        <w:pStyle w:val="Textbody"/>
        <w:spacing w:before="170" w:after="170" w:line="360" w:lineRule="auto"/>
        <w:rPr>
          <w:rFonts w:ascii="Arial" w:hAnsi="Arial" w:cs="Arial"/>
          <w:b/>
          <w:bCs/>
          <w:sz w:val="22"/>
          <w:szCs w:val="22"/>
        </w:rPr>
      </w:pPr>
    </w:p>
    <w:p w14:paraId="5A64A057" w14:textId="31690322" w:rsidR="00DD3522" w:rsidRPr="00DD3522" w:rsidRDefault="00DD3522" w:rsidP="00DD3522">
      <w:pPr>
        <w:pStyle w:val="Textbody"/>
        <w:spacing w:before="170" w:after="170" w:line="360" w:lineRule="auto"/>
        <w:rPr>
          <w:rFonts w:ascii="Arial" w:hAnsi="Arial" w:cs="Arial"/>
          <w:b/>
          <w:bCs/>
          <w:sz w:val="22"/>
          <w:szCs w:val="22"/>
        </w:rPr>
      </w:pPr>
      <w:r w:rsidRPr="00DD3522">
        <w:rPr>
          <w:rFonts w:ascii="Arial" w:hAnsi="Arial" w:cs="Arial"/>
          <w:b/>
          <w:noProof/>
          <w:sz w:val="22"/>
          <w:szCs w:val="22"/>
          <w:lang w:eastAsia="en-GB" w:bidi="ar-SA"/>
        </w:rPr>
        <w:drawing>
          <wp:inline distT="0" distB="0" distL="0" distR="0" wp14:anchorId="68AB69C5" wp14:editId="120A54EF">
            <wp:extent cx="600075" cy="56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14:paraId="692D3810" w14:textId="77777777" w:rsidR="00893A06" w:rsidRPr="00893A06" w:rsidRDefault="00893A06" w:rsidP="00893A06">
      <w:pPr>
        <w:pStyle w:val="Textbody"/>
        <w:spacing w:before="170" w:after="170" w:line="360" w:lineRule="auto"/>
        <w:rPr>
          <w:rFonts w:ascii="Arial" w:hAnsi="Arial" w:cs="Arial"/>
          <w:b/>
          <w:bCs/>
          <w:sz w:val="22"/>
          <w:szCs w:val="22"/>
        </w:rPr>
      </w:pPr>
      <w:r w:rsidRPr="00893A06">
        <w:rPr>
          <w:rFonts w:ascii="Arial" w:hAnsi="Arial" w:cs="Arial"/>
          <w:b/>
          <w:bCs/>
          <w:sz w:val="22"/>
          <w:szCs w:val="22"/>
        </w:rPr>
        <w:t>Gelber Hut Denken</w:t>
      </w:r>
    </w:p>
    <w:p w14:paraId="06CCA6DE" w14:textId="77777777" w:rsidR="00893A06" w:rsidRPr="00893A06"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Beim Gelber Hut Denken geht es darum, einen logischen und positiven Ansatz zu wählen und sich darauf zu konzentrieren, warum etwas funktionieren wird und warum es von Nutzen sein wird. Es kann verwendet werden, um nach vorne zu schauen, aber auch, um rückwärts zu blicken und das Positive in dem zu finden, was bereits geschehen ist.</w:t>
      </w:r>
    </w:p>
    <w:p w14:paraId="0E9799F2" w14:textId="12DCE1CD"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Der Yellow Hat ermöglicht es Ihnen, positiv zu denken, und er ist besonders nützlich, wenn die Dinge schwierig sind und Sie niedergeschlagen werden. Diese optimistische Sichtweise hilft Ihnen, alle Vorteile der Entscheidung zu erkennen und die Chancen zu erkennen, die sich daraus ergeben.</w:t>
      </w:r>
    </w:p>
    <w:p w14:paraId="68F990BC" w14:textId="6FE6B584"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130596EA" wp14:editId="02FE4697">
            <wp:extent cx="67627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523875"/>
                    </a:xfrm>
                    <a:prstGeom prst="rect">
                      <a:avLst/>
                    </a:prstGeom>
                    <a:noFill/>
                    <a:ln>
                      <a:noFill/>
                    </a:ln>
                  </pic:spPr>
                </pic:pic>
              </a:graphicData>
            </a:graphic>
          </wp:inline>
        </w:drawing>
      </w:r>
    </w:p>
    <w:p w14:paraId="2C1090C6" w14:textId="77777777" w:rsidR="00893A06" w:rsidRPr="00893A06" w:rsidRDefault="00893A06" w:rsidP="00893A06">
      <w:pPr>
        <w:pStyle w:val="Textbody"/>
        <w:spacing w:before="170" w:after="170" w:line="360" w:lineRule="auto"/>
        <w:rPr>
          <w:rFonts w:ascii="Arial" w:hAnsi="Arial" w:cs="Arial"/>
          <w:b/>
          <w:bCs/>
          <w:sz w:val="22"/>
          <w:szCs w:val="22"/>
        </w:rPr>
      </w:pPr>
      <w:r w:rsidRPr="00893A06">
        <w:rPr>
          <w:rFonts w:ascii="Arial" w:hAnsi="Arial" w:cs="Arial"/>
          <w:b/>
          <w:bCs/>
          <w:sz w:val="22"/>
          <w:szCs w:val="22"/>
        </w:rPr>
        <w:t>Grüner Hut Denken</w:t>
      </w:r>
    </w:p>
    <w:p w14:paraId="2CF9990D" w14:textId="090E2D63"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Beim Grünen Hut geht es um Kreativität, Alternativen, Vorschläge, was interessant ist und Dinge verändert. Wenn Sie den Grünen Hut tragen, können Sie kreativ und "out of the box" denken, ohne Kritik zu erfahren, genau wie beim Brainstorming. Dies ist der Hut, den Sie tragen sollten, wenn Sie auf der Suche nach kreativen Lösungen für ein Problem sind</w:t>
      </w:r>
      <w:r w:rsidR="00DD3522" w:rsidRPr="00DD3522">
        <w:rPr>
          <w:rFonts w:ascii="Arial" w:hAnsi="Arial" w:cs="Arial"/>
          <w:sz w:val="22"/>
          <w:szCs w:val="22"/>
        </w:rPr>
        <w:t>.</w:t>
      </w:r>
    </w:p>
    <w:p w14:paraId="7E71454F" w14:textId="4D55AE52" w:rsidR="00DD3522" w:rsidRPr="00DD3522" w:rsidRDefault="00DD3522" w:rsidP="00DD3522">
      <w:pPr>
        <w:pStyle w:val="Textbody"/>
        <w:spacing w:before="170" w:after="170" w:line="360" w:lineRule="auto"/>
        <w:rPr>
          <w:rFonts w:ascii="Arial" w:hAnsi="Arial" w:cs="Arial"/>
          <w:sz w:val="22"/>
          <w:szCs w:val="22"/>
        </w:rPr>
      </w:pPr>
      <w:r w:rsidRPr="00DD3522">
        <w:rPr>
          <w:rFonts w:ascii="Arial" w:hAnsi="Arial" w:cs="Arial"/>
          <w:noProof/>
          <w:sz w:val="22"/>
          <w:szCs w:val="22"/>
          <w:lang w:eastAsia="en-GB" w:bidi="ar-SA"/>
        </w:rPr>
        <w:drawing>
          <wp:inline distT="0" distB="0" distL="0" distR="0" wp14:anchorId="587B5B82" wp14:editId="133758C8">
            <wp:extent cx="6762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552450"/>
                    </a:xfrm>
                    <a:prstGeom prst="rect">
                      <a:avLst/>
                    </a:prstGeom>
                    <a:noFill/>
                    <a:ln>
                      <a:noFill/>
                    </a:ln>
                  </pic:spPr>
                </pic:pic>
              </a:graphicData>
            </a:graphic>
          </wp:inline>
        </w:drawing>
      </w:r>
    </w:p>
    <w:p w14:paraId="13BBF492" w14:textId="77777777" w:rsidR="00893A06" w:rsidRPr="00893A06" w:rsidRDefault="00893A06" w:rsidP="00893A06">
      <w:pPr>
        <w:pStyle w:val="Textbody"/>
        <w:spacing w:before="170" w:after="170" w:line="360" w:lineRule="auto"/>
        <w:rPr>
          <w:rFonts w:ascii="Arial" w:hAnsi="Arial" w:cs="Arial"/>
          <w:b/>
          <w:bCs/>
          <w:sz w:val="22"/>
          <w:szCs w:val="22"/>
        </w:rPr>
      </w:pPr>
      <w:r w:rsidRPr="00893A06">
        <w:rPr>
          <w:rFonts w:ascii="Arial" w:hAnsi="Arial" w:cs="Arial"/>
          <w:b/>
          <w:bCs/>
          <w:sz w:val="22"/>
          <w:szCs w:val="22"/>
        </w:rPr>
        <w:t>Blauer Hut Denken</w:t>
      </w:r>
    </w:p>
    <w:p w14:paraId="069F863C" w14:textId="679563A8"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Dies ist die Übersicht oder Prozesssteuerung. Er befasst sich nicht mit dem Thema selbst, sondern mit dem "Denken" über das Thema - d.h. mit der Feststellung, welcher der anderen Hüte erforderlich ist, und mit der Forderung nach dieser Art des Denkens.  Dies ist der Hut, den die Personen tragen, die Sitzungen leiten. Wenn die Emotionen hoch kochen, können sie zum Beispiel die Notwendigkeit des "weißen" oder "gelben Hutes" erkennen und die Sitzung entsprechend leiten</w:t>
      </w:r>
      <w:r w:rsidR="00DD3522" w:rsidRPr="00DD3522">
        <w:rPr>
          <w:rFonts w:ascii="Arial" w:hAnsi="Arial" w:cs="Arial"/>
          <w:sz w:val="22"/>
          <w:szCs w:val="22"/>
        </w:rPr>
        <w:t>.</w:t>
      </w:r>
    </w:p>
    <w:p w14:paraId="30ED66D7" w14:textId="77777777" w:rsidR="00DD3522" w:rsidRPr="00DD3522" w:rsidRDefault="00DD3522" w:rsidP="00DD3522">
      <w:pPr>
        <w:pStyle w:val="Textbody"/>
        <w:spacing w:after="0" w:line="360" w:lineRule="auto"/>
        <w:rPr>
          <w:rFonts w:ascii="Arial" w:hAnsi="Arial" w:cs="Arial"/>
          <w:b/>
          <w:bCs/>
          <w:sz w:val="22"/>
          <w:szCs w:val="22"/>
        </w:rPr>
      </w:pPr>
    </w:p>
    <w:p w14:paraId="1E8F250B" w14:textId="77777777" w:rsidR="00DD3522" w:rsidRPr="00DD3522" w:rsidRDefault="00DD3522" w:rsidP="00DD3522">
      <w:pPr>
        <w:rPr>
          <w:rFonts w:ascii="Arial" w:eastAsia="Arial Unicode MS" w:hAnsi="Arial" w:cs="Arial"/>
          <w:b/>
          <w:bCs/>
          <w:kern w:val="3"/>
          <w:lang w:eastAsia="zh-CN" w:bidi="hi-IN"/>
        </w:rPr>
      </w:pPr>
      <w:r w:rsidRPr="00DD3522">
        <w:rPr>
          <w:rFonts w:ascii="Arial" w:hAnsi="Arial" w:cs="Arial"/>
          <w:b/>
          <w:bCs/>
        </w:rPr>
        <w:lastRenderedPageBreak/>
        <w:br w:type="page"/>
      </w:r>
    </w:p>
    <w:p w14:paraId="14249D55" w14:textId="77777777" w:rsidR="00893A06" w:rsidRPr="00893A06" w:rsidRDefault="00893A06" w:rsidP="00893A06">
      <w:pPr>
        <w:pStyle w:val="Textbody"/>
        <w:spacing w:before="170" w:after="170" w:line="360" w:lineRule="auto"/>
        <w:rPr>
          <w:rFonts w:ascii="Arial" w:hAnsi="Arial" w:cs="Arial"/>
          <w:sz w:val="22"/>
          <w:szCs w:val="22"/>
        </w:rPr>
      </w:pPr>
    </w:p>
    <w:p w14:paraId="5BB4754F" w14:textId="77777777" w:rsidR="00893A06" w:rsidRPr="00893A06" w:rsidRDefault="00893A06" w:rsidP="00893A06">
      <w:pPr>
        <w:pStyle w:val="Textbody"/>
        <w:spacing w:before="170" w:after="170" w:line="360" w:lineRule="auto"/>
        <w:rPr>
          <w:rFonts w:ascii="Arial" w:hAnsi="Arial" w:cs="Arial"/>
          <w:b/>
          <w:bCs/>
          <w:sz w:val="22"/>
          <w:szCs w:val="22"/>
        </w:rPr>
      </w:pPr>
      <w:r w:rsidRPr="00893A06">
        <w:rPr>
          <w:rFonts w:ascii="Arial" w:hAnsi="Arial" w:cs="Arial"/>
          <w:b/>
          <w:bCs/>
          <w:sz w:val="22"/>
          <w:szCs w:val="22"/>
        </w:rPr>
        <w:t>Zusätzliche Informationen:</w:t>
      </w:r>
    </w:p>
    <w:p w14:paraId="4CA93930" w14:textId="350530B7" w:rsidR="00DD3522" w:rsidRPr="00DD3522" w:rsidRDefault="00893A06" w:rsidP="00893A06">
      <w:pPr>
        <w:pStyle w:val="Textbody"/>
        <w:spacing w:before="170" w:after="170" w:line="360" w:lineRule="auto"/>
        <w:rPr>
          <w:rFonts w:ascii="Arial" w:hAnsi="Arial" w:cs="Arial"/>
          <w:sz w:val="22"/>
          <w:szCs w:val="22"/>
        </w:rPr>
      </w:pPr>
      <w:r w:rsidRPr="00893A06">
        <w:rPr>
          <w:rFonts w:ascii="Arial" w:hAnsi="Arial" w:cs="Arial"/>
          <w:sz w:val="22"/>
          <w:szCs w:val="22"/>
        </w:rPr>
        <w:t>Das Modell der Sechs Denkenden Hüte kann entweder von Gruppen oder alleine verwendet werden. Einer seiner Vorteile in einer Gruppensituation besteht darin, dass es dazu beitragen kann, Konflikte und Meinungsverschiedenheiten zu entschärfen, die entstehen können, wenn Menschen mit unterschiedlichen Denkstilen dasselbe Problem diskutieren. Das Modell führt zu durchdachteren Entscheidungen, weil sie aus allen verschiedenen Perspektiven betrachtet wurden, und ermöglicht es den Menschen daher, die Entscheidung in ihrem eigenen bevorzugten Stil zu treffen, aber auch, andere Ansätze auszuprobieren. Auch wenn man anerkennt, dass Einzelpersonen in der Regel einen bestimmten Denkstil bevorzugen, ist es wichtig, dass die Sechs Denkhüte nicht zur Kategorisierung von Menschen verwendet werden</w:t>
      </w:r>
      <w:r w:rsidR="00DD3522" w:rsidRPr="00DD3522">
        <w:rPr>
          <w:rFonts w:ascii="Arial" w:hAnsi="Arial" w:cs="Arial"/>
          <w:sz w:val="22"/>
          <w:szCs w:val="22"/>
        </w:rPr>
        <w:t>.</w:t>
      </w:r>
    </w:p>
    <w:p w14:paraId="1303D63C" w14:textId="77777777" w:rsidR="00DD3522" w:rsidRPr="00DD3522" w:rsidRDefault="00DD3522" w:rsidP="00DD3522">
      <w:pPr>
        <w:rPr>
          <w:rFonts w:ascii="Arial" w:hAnsi="Arial" w:cs="Arial"/>
          <w:b/>
        </w:rPr>
      </w:pPr>
    </w:p>
    <w:bookmarkEnd w:id="0"/>
    <w:p w14:paraId="6A0C8CCC" w14:textId="644DACF3" w:rsidR="000A637A" w:rsidRPr="008A2091" w:rsidRDefault="000A637A" w:rsidP="00DD3522">
      <w:pPr>
        <w:pStyle w:val="NormalWeb"/>
        <w:spacing w:before="170" w:beforeAutospacing="0" w:after="170" w:line="360" w:lineRule="auto"/>
        <w:rPr>
          <w:rFonts w:ascii="Arial" w:hAnsi="Arial" w:cs="Arial"/>
          <w:color w:val="000000"/>
        </w:rPr>
      </w:pPr>
    </w:p>
    <w:sectPr w:rsidR="000A637A" w:rsidRPr="008A2091" w:rsidSect="00E82E2B">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2E0B" w14:textId="77777777" w:rsidR="00083059" w:rsidRDefault="00083059" w:rsidP="00E82E2B">
      <w:pPr>
        <w:spacing w:after="0" w:line="240" w:lineRule="auto"/>
      </w:pPr>
      <w:r>
        <w:separator/>
      </w:r>
    </w:p>
  </w:endnote>
  <w:endnote w:type="continuationSeparator" w:id="0">
    <w:p w14:paraId="6EB5A7DE" w14:textId="77777777" w:rsidR="00083059" w:rsidRDefault="00083059"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F8D76" w14:textId="77777777" w:rsidR="00083059" w:rsidRDefault="00083059" w:rsidP="00E82E2B">
      <w:pPr>
        <w:spacing w:after="0" w:line="240" w:lineRule="auto"/>
      </w:pPr>
      <w:r>
        <w:separator/>
      </w:r>
    </w:p>
  </w:footnote>
  <w:footnote w:type="continuationSeparator" w:id="0">
    <w:p w14:paraId="6AFAA5DF" w14:textId="77777777" w:rsidR="00083059" w:rsidRDefault="00083059"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229949DD"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A06" w:rsidRPr="00893A06">
      <w:t xml:space="preserve"> </w:t>
    </w:r>
    <w:r w:rsidR="00893A06" w:rsidRPr="00893A06">
      <w:rPr>
        <w:rFonts w:ascii="Arial" w:hAnsi="Arial" w:cs="Arial"/>
        <w:noProof/>
        <w:sz w:val="28"/>
        <w:szCs w:val="28"/>
      </w:rPr>
      <w:t>Sechs denkende Hüte</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36D1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059"/>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39E2"/>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E5871"/>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3A06"/>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3714"/>
    <w:rsid w:val="00C140EA"/>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4A07"/>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3522"/>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0CEC"/>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body">
    <w:name w:val="Text body"/>
    <w:basedOn w:val="Normal"/>
    <w:rsid w:val="00DD3522"/>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5113">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2020-05-15T10:27:00Z</dcterms:created>
  <dcterms:modified xsi:type="dcterms:W3CDTF">2020-05-15T14:59:00Z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